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1A" w:rsidRDefault="0093541A" w:rsidP="00935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A2DD72C" wp14:editId="58B10E4F">
            <wp:extent cx="2723949" cy="2723949"/>
            <wp:effectExtent l="0" t="0" r="635" b="635"/>
            <wp:docPr id="2" name="Image 2" descr="3 PDG aux avant-postes sur les rÃ©seaux sociaux - An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PDG aux avant-postes sur les rÃ©seaux sociaux - Ang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57" cy="27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41A" w:rsidRPr="0093541A" w:rsidRDefault="0093541A" w:rsidP="00935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fr-FR"/>
        </w:rPr>
      </w:pPr>
      <w:r w:rsidRPr="0093541A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fr-FR"/>
        </w:rPr>
        <w:t>Conseils d'administration : « Repenser le rôle du comité des risques »</w:t>
      </w:r>
    </w:p>
    <w:p w:rsidR="0093541A" w:rsidRPr="0093541A" w:rsidRDefault="0093541A" w:rsidP="009354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93541A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Valerie </w:t>
      </w:r>
      <w:proofErr w:type="spellStart"/>
      <w:r w:rsidRPr="0093541A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Landrieu</w:t>
      </w:r>
      <w:proofErr w:type="spellEnd"/>
      <w:r w:rsidRPr="0093541A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Le 19/05 à 07:00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</w:t>
      </w:r>
    </w:p>
    <w:p w:rsidR="0093541A" w:rsidRDefault="0093541A" w:rsidP="0093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541A" w:rsidRPr="0093541A" w:rsidRDefault="0093541A" w:rsidP="009354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fr-FR"/>
        </w:rPr>
      </w:pPr>
      <w:r w:rsidRPr="0093541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fr-FR"/>
        </w:rPr>
        <w:t xml:space="preserve">Tendance Face à la crise, les conseils d'administration doivent renoncer aux solutions qui ne seraient que des rustines et oser innover, expliquent Pascale Parraud-Apparu et Emeric Lepoutre, associés du cabinet Emeric Lepoutre &amp; Partners. </w:t>
      </w:r>
    </w:p>
    <w:p w:rsidR="0093541A" w:rsidRDefault="0093541A" w:rsidP="0093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3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1A"/>
    <w:rsid w:val="0093541A"/>
    <w:rsid w:val="00C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BDA6-860D-48DF-BDFD-B05FEBDF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VAN ROY</dc:creator>
  <cp:keywords/>
  <dc:description/>
  <cp:lastModifiedBy>Stéphanie VAN ROY</cp:lastModifiedBy>
  <cp:revision>1</cp:revision>
  <dcterms:created xsi:type="dcterms:W3CDTF">2020-05-25T09:54:00Z</dcterms:created>
  <dcterms:modified xsi:type="dcterms:W3CDTF">2020-05-25T10:01:00Z</dcterms:modified>
</cp:coreProperties>
</file>